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Budget vs. Run-Rate: Getting Real on IT Spend</w:t>
      </w:r>
    </w:p>
    <w:p>
      <w:r>
        <w:rPr>
          <w:i/>
        </w:rPr>
        <w:t>A simple model to monitor actuals, variances, and renewal cliffs.</w:t>
      </w:r>
    </w:p>
    <w:p>
      <w:pPr>
        <w:pStyle w:val="Heading2"/>
      </w:pPr>
      <w:r>
        <w:t>Why this matters</w:t>
      </w:r>
    </w:p>
    <w:p>
      <w:r>
        <w:t>Most SMB budgets treat “IT” as a single annual line item. That hides the truth: your run-rate—what you’re actually spending this month, extrapolated over a year—may be 15–30% higher than your approved budget. Monitoring run-rate versus budget is how you catch silent renewals, over-consumption, and rising per-user costs before they become surprises.</w:t>
      </w:r>
    </w:p>
    <w:p>
      <w:pPr>
        <w:pStyle w:val="Heading2"/>
      </w:pPr>
      <w:r>
        <w:t>Key definitions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Term</w:t>
            </w:r>
          </w:p>
        </w:tc>
        <w:tc>
          <w:tcPr>
            <w:tcW w:type="dxa" w:w="2880"/>
          </w:tcPr>
          <w:p>
            <w:r>
              <w:t>Meaning</w:t>
            </w:r>
          </w:p>
        </w:tc>
        <w:tc>
          <w:tcPr>
            <w:tcW w:type="dxa" w:w="2880"/>
          </w:tcPr>
          <w:p>
            <w:r>
              <w:t>CEO-friendly view</w:t>
            </w:r>
          </w:p>
        </w:tc>
      </w:tr>
      <w:tr>
        <w:tc>
          <w:tcPr>
            <w:tcW w:type="dxa" w:w="2880"/>
          </w:tcPr>
          <w:p>
            <w:r>
              <w:t>Budget</w:t>
            </w:r>
          </w:p>
        </w:tc>
        <w:tc>
          <w:tcPr>
            <w:tcW w:type="dxa" w:w="2880"/>
          </w:tcPr>
          <w:p>
            <w:r>
              <w:t>The planned annual spend approved at fiscal start.</w:t>
            </w:r>
          </w:p>
        </w:tc>
        <w:tc>
          <w:tcPr>
            <w:tcW w:type="dxa" w:w="2880"/>
          </w:tcPr>
          <w:p>
            <w:r>
              <w:t>What we thought we’d pay.</w:t>
            </w:r>
          </w:p>
        </w:tc>
      </w:tr>
      <w:tr>
        <w:tc>
          <w:tcPr>
            <w:tcW w:type="dxa" w:w="2880"/>
          </w:tcPr>
          <w:p>
            <w:r>
              <w:t>Actuals</w:t>
            </w:r>
          </w:p>
        </w:tc>
        <w:tc>
          <w:tcPr>
            <w:tcW w:type="dxa" w:w="2880"/>
          </w:tcPr>
          <w:p>
            <w:r>
              <w:t>Invoices paid so far.</w:t>
            </w:r>
          </w:p>
        </w:tc>
        <w:tc>
          <w:tcPr>
            <w:tcW w:type="dxa" w:w="2880"/>
          </w:tcPr>
          <w:p>
            <w:r>
              <w:t>What we already paid.</w:t>
            </w:r>
          </w:p>
        </w:tc>
      </w:tr>
      <w:tr>
        <w:tc>
          <w:tcPr>
            <w:tcW w:type="dxa" w:w="2880"/>
          </w:tcPr>
          <w:p>
            <w:r>
              <w:t>Run-Rate</w:t>
            </w:r>
          </w:p>
        </w:tc>
        <w:tc>
          <w:tcPr>
            <w:tcW w:type="dxa" w:w="2880"/>
          </w:tcPr>
          <w:p>
            <w:r>
              <w:t>Monthly actual × 12 (projected annualized cost).</w:t>
            </w:r>
          </w:p>
        </w:tc>
        <w:tc>
          <w:tcPr>
            <w:tcW w:type="dxa" w:w="2880"/>
          </w:tcPr>
          <w:p>
            <w:r>
              <w:t>Where we’re heading if nothing changes.</w:t>
            </w:r>
          </w:p>
        </w:tc>
      </w:tr>
      <w:tr>
        <w:tc>
          <w:tcPr>
            <w:tcW w:type="dxa" w:w="2880"/>
          </w:tcPr>
          <w:p>
            <w:r>
              <w:t>Variance</w:t>
            </w:r>
          </w:p>
        </w:tc>
        <w:tc>
          <w:tcPr>
            <w:tcW w:type="dxa" w:w="2880"/>
          </w:tcPr>
          <w:p>
            <w:r>
              <w:t>Run-rate − Budget.</w:t>
            </w:r>
          </w:p>
        </w:tc>
        <w:tc>
          <w:tcPr>
            <w:tcW w:type="dxa" w:w="2880"/>
          </w:tcPr>
          <w:p>
            <w:r>
              <w:t>How far off we are.</w:t>
            </w:r>
          </w:p>
        </w:tc>
      </w:tr>
      <w:tr>
        <w:tc>
          <w:tcPr>
            <w:tcW w:type="dxa" w:w="2880"/>
          </w:tcPr>
          <w:p>
            <w:r>
              <w:t>Renewal Cliff</w:t>
            </w:r>
          </w:p>
        </w:tc>
        <w:tc>
          <w:tcPr>
            <w:tcW w:type="dxa" w:w="2880"/>
          </w:tcPr>
          <w:p>
            <w:r>
              <w:t>Date when contracts renew or price uplifts hit.</w:t>
            </w:r>
          </w:p>
        </w:tc>
        <w:tc>
          <w:tcPr>
            <w:tcW w:type="dxa" w:w="2880"/>
          </w:tcPr>
          <w:p>
            <w:r>
              <w:t>When we’ll lose leverage if we don’t act.</w:t>
            </w:r>
          </w:p>
        </w:tc>
      </w:tr>
    </w:tbl>
    <w:p>
      <w:pPr>
        <w:pStyle w:val="Heading2"/>
      </w:pPr>
      <w:r>
        <w:t>The 4-Step Run-Rate Model</w:t>
      </w:r>
    </w:p>
    <w:p>
      <w:pPr>
        <w:pStyle w:val="Heading3"/>
      </w:pPr>
      <w:r>
        <w:t>1 — Collect</w:t>
      </w:r>
    </w:p>
    <w:p>
      <w:r>
        <w:t>List every recurring IT contract or SaaS service (vendor, cost, renewal date, quantity, responsible dept). If you use an MSP, ask for their Bill of Materials (BOM) and renewal calendar.</w:t>
      </w:r>
    </w:p>
    <w:p>
      <w:pPr>
        <w:pStyle w:val="Heading3"/>
      </w:pPr>
      <w:r>
        <w:t>2 — Normalize</w:t>
      </w:r>
    </w:p>
    <w:p>
      <w:r>
        <w:t>Convert everything to monthly equivalents in one currency.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Vendor</w:t>
            </w:r>
          </w:p>
        </w:tc>
        <w:tc>
          <w:tcPr>
            <w:tcW w:type="dxa" w:w="2160"/>
          </w:tcPr>
          <w:p>
            <w:r>
              <w:t>Billing Cycle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  <w:tc>
          <w:tcPr>
            <w:tcW w:type="dxa" w:w="2160"/>
          </w:tcPr>
          <w:p>
            <w:r>
              <w:t>Monthly Eq.</w:t>
            </w:r>
          </w:p>
        </w:tc>
      </w:tr>
      <w:tr>
        <w:tc>
          <w:tcPr>
            <w:tcW w:type="dxa" w:w="2160"/>
          </w:tcPr>
          <w:p>
            <w:r>
              <w:t>Microsoft 365</w:t>
            </w:r>
          </w:p>
        </w:tc>
        <w:tc>
          <w:tcPr>
            <w:tcW w:type="dxa" w:w="2160"/>
          </w:tcPr>
          <w:p>
            <w:r>
              <w:t>Annual</w:t>
            </w:r>
          </w:p>
        </w:tc>
        <w:tc>
          <w:tcPr>
            <w:tcW w:type="dxa" w:w="2160"/>
          </w:tcPr>
          <w:p>
            <w:r>
              <w:t>$12,000</w:t>
            </w:r>
          </w:p>
        </w:tc>
        <w:tc>
          <w:tcPr>
            <w:tcW w:type="dxa" w:w="2160"/>
          </w:tcPr>
          <w:p>
            <w:r>
              <w:t>$1,000</w:t>
            </w:r>
          </w:p>
        </w:tc>
      </w:tr>
      <w:tr>
        <w:tc>
          <w:tcPr>
            <w:tcW w:type="dxa" w:w="2160"/>
          </w:tcPr>
          <w:p>
            <w:r>
              <w:t>Firewall Support</w:t>
            </w:r>
          </w:p>
        </w:tc>
        <w:tc>
          <w:tcPr>
            <w:tcW w:type="dxa" w:w="2160"/>
          </w:tcPr>
          <w:p>
            <w:r>
              <w:t>3-year</w:t>
            </w:r>
          </w:p>
        </w:tc>
        <w:tc>
          <w:tcPr>
            <w:tcW w:type="dxa" w:w="2160"/>
          </w:tcPr>
          <w:p>
            <w:r>
              <w:t>$9,000</w:t>
            </w:r>
          </w:p>
        </w:tc>
        <w:tc>
          <w:tcPr>
            <w:tcW w:type="dxa" w:w="2160"/>
          </w:tcPr>
          <w:p>
            <w:r>
              <w:t>$250</w:t>
            </w:r>
          </w:p>
        </w:tc>
      </w:tr>
      <w:tr>
        <w:tc>
          <w:tcPr>
            <w:tcW w:type="dxa" w:w="2160"/>
          </w:tcPr>
          <w:p>
            <w:r>
              <w:t>Zoom Licenses</w:t>
            </w:r>
          </w:p>
        </w:tc>
        <w:tc>
          <w:tcPr>
            <w:tcW w:type="dxa" w:w="2160"/>
          </w:tcPr>
          <w:p>
            <w:r>
              <w:t>Monthly</w:t>
            </w:r>
          </w:p>
        </w:tc>
        <w:tc>
          <w:tcPr>
            <w:tcW w:type="dxa" w:w="2160"/>
          </w:tcPr>
          <w:p>
            <w:r>
              <w:t>$300</w:t>
            </w:r>
          </w:p>
        </w:tc>
        <w:tc>
          <w:tcPr>
            <w:tcW w:type="dxa" w:w="2160"/>
          </w:tcPr>
          <w:p>
            <w:r>
              <w:t>$300</w:t>
            </w:r>
          </w:p>
        </w:tc>
      </w:tr>
    </w:tbl>
    <w:p>
      <w:r>
        <w:t>Total monthly = $1,550 → annualized run-rate = $18,600.</w:t>
      </w:r>
    </w:p>
    <w:p>
      <w:pPr>
        <w:pStyle w:val="Heading3"/>
      </w:pPr>
      <w:r>
        <w:t>3 — Track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Month</w:t>
            </w:r>
          </w:p>
        </w:tc>
        <w:tc>
          <w:tcPr>
            <w:tcW w:type="dxa" w:w="1728"/>
          </w:tcPr>
          <w:p>
            <w:r>
              <w:t>Budget</w:t>
            </w:r>
          </w:p>
        </w:tc>
        <w:tc>
          <w:tcPr>
            <w:tcW w:type="dxa" w:w="1728"/>
          </w:tcPr>
          <w:p>
            <w:r>
              <w:t>Actual</w:t>
            </w:r>
          </w:p>
        </w:tc>
        <w:tc>
          <w:tcPr>
            <w:tcW w:type="dxa" w:w="1728"/>
          </w:tcPr>
          <w:p>
            <w:r>
              <w:t>Variance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Jan</w:t>
            </w:r>
          </w:p>
        </w:tc>
        <w:tc>
          <w:tcPr>
            <w:tcW w:type="dxa" w:w="1728"/>
          </w:tcPr>
          <w:p>
            <w:r>
              <w:t>$15,000</w:t>
            </w:r>
          </w:p>
        </w:tc>
        <w:tc>
          <w:tcPr>
            <w:tcW w:type="dxa" w:w="1728"/>
          </w:tcPr>
          <w:p>
            <w:r>
              <w:t>$15,200</w:t>
            </w:r>
          </w:p>
        </w:tc>
        <w:tc>
          <w:tcPr>
            <w:tcW w:type="dxa" w:w="1728"/>
          </w:tcPr>
          <w:p>
            <w:r>
              <w:t>+1.3%</w:t>
            </w:r>
          </w:p>
        </w:tc>
        <w:tc>
          <w:tcPr>
            <w:tcW w:type="dxa" w:w="1728"/>
          </w:tcPr>
          <w:p>
            <w:r>
              <w:t>Normal seasonality</w:t>
            </w:r>
          </w:p>
        </w:tc>
      </w:tr>
      <w:tr>
        <w:tc>
          <w:tcPr>
            <w:tcW w:type="dxa" w:w="1728"/>
          </w:tcPr>
          <w:p>
            <w:r>
              <w:t>Feb</w:t>
            </w:r>
          </w:p>
        </w:tc>
        <w:tc>
          <w:tcPr>
            <w:tcW w:type="dxa" w:w="1728"/>
          </w:tcPr>
          <w:p>
            <w:r>
              <w:t>$15,000</w:t>
            </w:r>
          </w:p>
        </w:tc>
        <w:tc>
          <w:tcPr>
            <w:tcW w:type="dxa" w:w="1728"/>
          </w:tcPr>
          <w:p>
            <w:r>
              <w:t>$17,500</w:t>
            </w:r>
          </w:p>
        </w:tc>
        <w:tc>
          <w:tcPr>
            <w:tcW w:type="dxa" w:w="1728"/>
          </w:tcPr>
          <w:p>
            <w:r>
              <w:t>+16.7%</w:t>
            </w:r>
          </w:p>
        </w:tc>
        <w:tc>
          <w:tcPr>
            <w:tcW w:type="dxa" w:w="1728"/>
          </w:tcPr>
          <w:p>
            <w:r>
              <w:t>Added 20 users</w:t>
            </w:r>
          </w:p>
        </w:tc>
      </w:tr>
      <w:tr>
        <w:tc>
          <w:tcPr>
            <w:tcW w:type="dxa" w:w="1728"/>
          </w:tcPr>
          <w:p>
            <w:r>
              <w:t>Mar</w:t>
            </w:r>
          </w:p>
        </w:tc>
        <w:tc>
          <w:tcPr>
            <w:tcW w:type="dxa" w:w="1728"/>
          </w:tcPr>
          <w:p>
            <w:r>
              <w:t>$15,000</w:t>
            </w:r>
          </w:p>
        </w:tc>
        <w:tc>
          <w:tcPr>
            <w:tcW w:type="dxa" w:w="1728"/>
          </w:tcPr>
          <w:p>
            <w:r>
              <w:t>$15,100</w:t>
            </w:r>
          </w:p>
        </w:tc>
        <w:tc>
          <w:tcPr>
            <w:tcW w:type="dxa" w:w="1728"/>
          </w:tcPr>
          <w:p>
            <w:r>
              <w:t>+0.6%</w:t>
            </w:r>
          </w:p>
        </w:tc>
        <w:tc>
          <w:tcPr>
            <w:tcW w:type="dxa" w:w="1728"/>
          </w:tcPr>
          <w:p>
            <w:r>
              <w:t>Stable</w:t>
            </w:r>
          </w:p>
        </w:tc>
      </w:tr>
      <w:tr>
        <w:tc>
          <w:tcPr>
            <w:tcW w:type="dxa" w:w="1728"/>
          </w:tcPr>
          <w:p>
            <w:r>
              <w:t>Apr YTD</w:t>
            </w:r>
          </w:p>
        </w:tc>
        <w:tc>
          <w:tcPr>
            <w:tcW w:type="dxa" w:w="1728"/>
          </w:tcPr>
          <w:p>
            <w:r>
              <w:t>$60,000</w:t>
            </w:r>
          </w:p>
        </w:tc>
        <w:tc>
          <w:tcPr>
            <w:tcW w:type="dxa" w:w="1728"/>
          </w:tcPr>
          <w:p>
            <w:r>
              <w:t>$64,800</w:t>
            </w:r>
          </w:p>
        </w:tc>
        <w:tc>
          <w:tcPr>
            <w:tcW w:type="dxa" w:w="1728"/>
          </w:tcPr>
          <w:p>
            <w:r>
              <w:t>+8.0%</w:t>
            </w:r>
          </w:p>
        </w:tc>
        <w:tc>
          <w:tcPr>
            <w:tcW w:type="dxa" w:w="1728"/>
          </w:tcPr>
          <w:p>
            <w:r>
              <w:t>Run-rate trending high</w:t>
            </w:r>
          </w:p>
        </w:tc>
      </w:tr>
    </w:tbl>
    <w:p>
      <w:r>
        <w:t>If run-rate &gt; budget × 1.05 for more than two months, investigate.</w:t>
      </w:r>
    </w:p>
    <w:p>
      <w:pPr>
        <w:pStyle w:val="Heading3"/>
      </w:pPr>
      <w:r>
        <w:t>4 — Visualize</w:t>
      </w:r>
    </w:p>
    <w:p>
      <w:r>
        <w:t>Plot three lines: Budget (flat), Actuals (bars), Run-Rate (rolling trend). Even Excel or Sheets can do this with a 12‑month moving average.</w:t>
      </w:r>
    </w:p>
    <w:p>
      <w:pPr>
        <w:pStyle w:val="Heading2"/>
      </w:pPr>
      <w:r>
        <w:t>Reading the signals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Symptom</w:t>
            </w:r>
          </w:p>
        </w:tc>
        <w:tc>
          <w:tcPr>
            <w:tcW w:type="dxa" w:w="2880"/>
          </w:tcPr>
          <w:p>
            <w:r>
              <w:t>Likely cause</w:t>
            </w:r>
          </w:p>
        </w:tc>
        <w:tc>
          <w:tcPr>
            <w:tcW w:type="dxa" w:w="2880"/>
          </w:tcPr>
          <w:p>
            <w:r>
              <w:t>Fix</w:t>
            </w:r>
          </w:p>
        </w:tc>
      </w:tr>
      <w:tr>
        <w:tc>
          <w:tcPr>
            <w:tcW w:type="dxa" w:w="2880"/>
          </w:tcPr>
          <w:p>
            <w:r>
              <w:t>Run-rate steadily rising</w:t>
            </w:r>
          </w:p>
        </w:tc>
        <w:tc>
          <w:tcPr>
            <w:tcW w:type="dxa" w:w="2880"/>
          </w:tcPr>
          <w:p>
            <w:r>
              <w:t>Seat creep or auto-renew add-ons</w:t>
            </w:r>
          </w:p>
        </w:tc>
        <w:tc>
          <w:tcPr>
            <w:tcW w:type="dxa" w:w="2880"/>
          </w:tcPr>
          <w:p>
            <w:r>
              <w:t>True-up vs headcount; prune licenses</w:t>
            </w:r>
          </w:p>
        </w:tc>
      </w:tr>
      <w:tr>
        <w:tc>
          <w:tcPr>
            <w:tcW w:type="dxa" w:w="2880"/>
          </w:tcPr>
          <w:p>
            <w:r>
              <w:t>One-month spike</w:t>
            </w:r>
          </w:p>
        </w:tc>
        <w:tc>
          <w:tcPr>
            <w:tcW w:type="dxa" w:w="2880"/>
          </w:tcPr>
          <w:p>
            <w:r>
              <w:t>Annual pre-pay posted early</w:t>
            </w:r>
          </w:p>
        </w:tc>
        <w:tc>
          <w:tcPr>
            <w:tcW w:type="dxa" w:w="2880"/>
          </w:tcPr>
          <w:p>
            <w:r>
              <w:t>Smooth via accruals</w:t>
            </w:r>
          </w:p>
        </w:tc>
      </w:tr>
      <w:tr>
        <w:tc>
          <w:tcPr>
            <w:tcW w:type="dxa" w:w="2880"/>
          </w:tcPr>
          <w:p>
            <w:r>
              <w:t>Flat run-rate, sudden jump at renewal</w:t>
            </w:r>
          </w:p>
        </w:tc>
        <w:tc>
          <w:tcPr>
            <w:tcW w:type="dxa" w:w="2880"/>
          </w:tcPr>
          <w:p>
            <w:r>
              <w:t>Price uplift or missed renegotiation</w:t>
            </w:r>
          </w:p>
        </w:tc>
        <w:tc>
          <w:tcPr>
            <w:tcW w:type="dxa" w:w="2880"/>
          </w:tcPr>
          <w:p>
            <w:r>
              <w:t>Negotiate caps; track renewal cliffs</w:t>
            </w:r>
          </w:p>
        </w:tc>
      </w:tr>
      <w:tr>
        <w:tc>
          <w:tcPr>
            <w:tcW w:type="dxa" w:w="2880"/>
          </w:tcPr>
          <w:p>
            <w:r>
              <w:t>Run-rate below budget</w:t>
            </w:r>
          </w:p>
        </w:tc>
        <w:tc>
          <w:tcPr>
            <w:tcW w:type="dxa" w:w="2880"/>
          </w:tcPr>
          <w:p>
            <w:r>
              <w:t>Savings or delayed projects</w:t>
            </w:r>
          </w:p>
        </w:tc>
        <w:tc>
          <w:tcPr>
            <w:tcW w:type="dxa" w:w="2880"/>
          </w:tcPr>
          <w:p>
            <w:r>
              <w:t>Re-allocate or lock savings</w:t>
            </w:r>
          </w:p>
        </w:tc>
      </w:tr>
    </w:tbl>
    <w:p>
      <w:pPr>
        <w:pStyle w:val="Heading2"/>
      </w:pPr>
      <w:r>
        <w:t>Renewal Cliff Playbook</w:t>
      </w:r>
    </w:p>
    <w:p>
      <w:pPr>
        <w:pStyle w:val="ListBullet"/>
      </w:pPr>
      <w:r>
        <w:t>List all renewal dates 90–180 days out.</w:t>
      </w:r>
    </w:p>
    <w:p>
      <w:pPr>
        <w:pStyle w:val="ListBullet"/>
      </w:pPr>
      <w:r>
        <w:t>Tag high-impact vendors &gt; $5,000/yr.</w:t>
      </w:r>
    </w:p>
    <w:p>
      <w:pPr>
        <w:pStyle w:val="ListBullet"/>
      </w:pPr>
      <w:r>
        <w:t>Set alerts at 120/90/60/30 days.</w:t>
      </w:r>
    </w:p>
    <w:p>
      <w:pPr>
        <w:pStyle w:val="ListBullet"/>
      </w:pPr>
      <w:r>
        <w:t>Pull usage reports 60 days out.</w:t>
      </w:r>
    </w:p>
    <w:p>
      <w:pPr>
        <w:pStyle w:val="ListBullet"/>
      </w:pPr>
      <w:r>
        <w:t>Benchmark unit pricing or alternates.</w:t>
      </w:r>
    </w:p>
    <w:p>
      <w:pPr>
        <w:pStyle w:val="ListBullet"/>
      </w:pPr>
      <w:r>
        <w:t>Negotiate 45 days out (avoid inside 30).</w:t>
      </w:r>
    </w:p>
    <w:p>
      <w:pPr>
        <w:pStyle w:val="Heading2"/>
      </w:pPr>
      <w:r>
        <w:t>Mini-Model for SMB CEOs</w:t>
      </w:r>
    </w:p>
    <w:p>
      <w:r>
        <w:t>Spreadsheet formula for annualized run-rate:</w:t>
      </w:r>
    </w:p>
    <w:p>
      <w:r>
        <w:t>=SUMIFS(Amount, Month, "&lt;="&amp;TODAY()) / MONTH(TODAY()) * 12</w:t>
      </w:r>
    </w:p>
    <w:p>
      <w:pPr>
        <w:pStyle w:val="Heading2"/>
      </w:pPr>
      <w:r>
        <w:t>Executive Checklist</w:t>
      </w:r>
    </w:p>
    <w:p>
      <w:pPr>
        <w:pStyle w:val="ListBullet"/>
      </w:pPr>
      <w:r>
        <w:t>Every IT contract listed with renewal date.</w:t>
      </w:r>
    </w:p>
    <w:p>
      <w:pPr>
        <w:pStyle w:val="ListBullet"/>
      </w:pPr>
      <w:r>
        <w:t>Monthly equivalents calculated in one currency.</w:t>
      </w:r>
    </w:p>
    <w:p>
      <w:pPr>
        <w:pStyle w:val="ListBullet"/>
      </w:pPr>
      <w:r>
        <w:t>Actual vs budget chart updated monthly.</w:t>
      </w:r>
    </w:p>
    <w:p>
      <w:pPr>
        <w:pStyle w:val="ListBullet"/>
      </w:pPr>
      <w:r>
        <w:t>Variance &gt; 5% investigated within 30 days.</w:t>
      </w:r>
    </w:p>
    <w:p>
      <w:pPr>
        <w:pStyle w:val="ListBullet"/>
      </w:pPr>
      <w:r>
        <w:t>Renewal calendar reviewed quarterly.</w:t>
      </w:r>
    </w:p>
    <w:p>
      <w:pPr>
        <w:pStyle w:val="ListBullet"/>
      </w:pPr>
      <w:r>
        <w:t>Run-rate trend reported in the CEO/CFO deck.</w:t>
      </w:r>
    </w:p>
    <w:p>
      <w:r>
        <w:t>Example Outcome: Budget $180k; mid-year run-rate $212k (+18%). Causes: unused add-ons $9k, double licenses $12k, uplifted renewals $11k. After remediation, run-rate $182k (−$30k swing).</w:t>
      </w:r>
    </w:p>
    <w:p>
      <w:r>
        <w:t>Final Word: Your budget tells you what you hoped to spend; your run-rate tells you what you’re really spending. Monitor both to avoid surprises.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